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50" w:rsidRDefault="008B2E4E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</w:t>
      </w:r>
      <w:r w:rsidR="009055F3">
        <w:rPr>
          <w:rFonts w:hint="eastAsia"/>
          <w:b/>
          <w:bCs/>
          <w:sz w:val="28"/>
          <w:szCs w:val="28"/>
        </w:rPr>
        <w:t>件</w:t>
      </w:r>
      <w:r w:rsidR="009055F3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017</w:t>
      </w:r>
      <w:r>
        <w:rPr>
          <w:rFonts w:hint="eastAsia"/>
          <w:b/>
          <w:bCs/>
          <w:sz w:val="28"/>
          <w:szCs w:val="28"/>
        </w:rPr>
        <w:t>年度国家法治与法学理论研究项目课题指南目录</w:t>
      </w:r>
    </w:p>
    <w:p w:rsidR="00D01450" w:rsidRDefault="008B2E4E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一、</w:t>
      </w:r>
      <w:r>
        <w:rPr>
          <w:rFonts w:hint="eastAsia"/>
          <w:b/>
          <w:bCs/>
          <w:sz w:val="28"/>
          <w:szCs w:val="28"/>
        </w:rPr>
        <w:t> </w:t>
      </w:r>
      <w:r>
        <w:rPr>
          <w:rFonts w:hint="eastAsia"/>
          <w:b/>
          <w:bCs/>
          <w:sz w:val="28"/>
          <w:szCs w:val="28"/>
        </w:rPr>
        <w:t>重点课题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1. </w:t>
      </w:r>
      <w:r>
        <w:rPr>
          <w:rFonts w:hint="eastAsia"/>
          <w:sz w:val="28"/>
          <w:szCs w:val="28"/>
        </w:rPr>
        <w:t>民法典合同法编纂问题与建议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2. </w:t>
      </w:r>
      <w:r>
        <w:rPr>
          <w:rFonts w:hint="eastAsia"/>
          <w:sz w:val="28"/>
          <w:szCs w:val="28"/>
        </w:rPr>
        <w:t>优化司法机关职权配置研究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3. </w:t>
      </w:r>
      <w:r>
        <w:rPr>
          <w:rFonts w:hint="eastAsia"/>
          <w:sz w:val="28"/>
          <w:szCs w:val="28"/>
        </w:rPr>
        <w:t>最高法院统一法律适用研究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4. </w:t>
      </w:r>
      <w:r>
        <w:rPr>
          <w:rFonts w:hint="eastAsia"/>
          <w:sz w:val="28"/>
          <w:szCs w:val="28"/>
        </w:rPr>
        <w:t>国家监察体制改革的宪法问题研究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5. </w:t>
      </w:r>
      <w:r>
        <w:rPr>
          <w:rFonts w:hint="eastAsia"/>
          <w:sz w:val="28"/>
          <w:szCs w:val="28"/>
        </w:rPr>
        <w:t>行政公益诉讼研究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6. </w:t>
      </w:r>
      <w:r>
        <w:rPr>
          <w:rFonts w:hint="eastAsia"/>
          <w:sz w:val="28"/>
          <w:szCs w:val="28"/>
        </w:rPr>
        <w:t>社区矫正重大现实问题研究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7. </w:t>
      </w:r>
      <w:r>
        <w:rPr>
          <w:rFonts w:hint="eastAsia"/>
          <w:sz w:val="28"/>
          <w:szCs w:val="28"/>
        </w:rPr>
        <w:t>《律师法》修改研究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8. </w:t>
      </w:r>
      <w:r>
        <w:rPr>
          <w:rFonts w:hint="eastAsia"/>
          <w:sz w:val="28"/>
          <w:szCs w:val="28"/>
        </w:rPr>
        <w:t>公共法律服务体系构建研究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9. </w:t>
      </w:r>
      <w:r>
        <w:rPr>
          <w:rFonts w:hint="eastAsia"/>
          <w:sz w:val="28"/>
          <w:szCs w:val="28"/>
        </w:rPr>
        <w:t>互联网理财监管法律问题研究</w:t>
      </w:r>
    </w:p>
    <w:p w:rsidR="00D01450" w:rsidRDefault="008B2E4E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10. </w:t>
      </w:r>
      <w:r>
        <w:rPr>
          <w:rFonts w:hint="eastAsia"/>
          <w:sz w:val="28"/>
          <w:szCs w:val="28"/>
        </w:rPr>
        <w:t>以完善社会主义法律体系为宗旨的环境法调整范围问题研究</w:t>
      </w:r>
    </w:p>
    <w:p w:rsidR="00D01450" w:rsidRDefault="00D01450">
      <w:pPr>
        <w:spacing w:line="520" w:lineRule="exact"/>
        <w:ind w:firstLine="560"/>
        <w:rPr>
          <w:sz w:val="28"/>
          <w:szCs w:val="28"/>
        </w:rPr>
      </w:pPr>
    </w:p>
    <w:p w:rsidR="00D01450" w:rsidRDefault="008B2E4E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一般课题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11.  </w:t>
      </w:r>
      <w:r>
        <w:rPr>
          <w:rFonts w:hint="eastAsia"/>
          <w:sz w:val="28"/>
          <w:szCs w:val="28"/>
        </w:rPr>
        <w:t>法治文化在依法治国中的功能研究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12.  </w:t>
      </w:r>
      <w:r>
        <w:rPr>
          <w:rFonts w:hint="eastAsia"/>
          <w:sz w:val="28"/>
          <w:szCs w:val="28"/>
        </w:rPr>
        <w:t>党内法规的功能与作用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13.  </w:t>
      </w:r>
      <w:r>
        <w:rPr>
          <w:rFonts w:hint="eastAsia"/>
          <w:sz w:val="28"/>
          <w:szCs w:val="28"/>
        </w:rPr>
        <w:t>地方的司法改革研究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14.  </w:t>
      </w:r>
      <w:r>
        <w:rPr>
          <w:rFonts w:hint="eastAsia"/>
          <w:sz w:val="28"/>
          <w:szCs w:val="28"/>
        </w:rPr>
        <w:t>法官员额制的运行实施研究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15.  </w:t>
      </w:r>
      <w:r>
        <w:rPr>
          <w:rFonts w:hint="eastAsia"/>
          <w:sz w:val="28"/>
          <w:szCs w:val="28"/>
        </w:rPr>
        <w:t>人工智能发展中的科技伦理与法律规制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16.  </w:t>
      </w:r>
      <w:r>
        <w:rPr>
          <w:rFonts w:hint="eastAsia"/>
          <w:sz w:val="28"/>
          <w:szCs w:val="28"/>
        </w:rPr>
        <w:t>司法认知偏差及其纠正机制研究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17.  </w:t>
      </w:r>
      <w:r>
        <w:rPr>
          <w:rFonts w:hint="eastAsia"/>
          <w:sz w:val="28"/>
          <w:szCs w:val="28"/>
        </w:rPr>
        <w:t>民族地区乡村法治研究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18.  </w:t>
      </w:r>
      <w:r>
        <w:rPr>
          <w:rFonts w:hint="eastAsia"/>
          <w:sz w:val="28"/>
          <w:szCs w:val="28"/>
        </w:rPr>
        <w:t>乡贤组织在基层社会矛盾化解中的有效性和规范化建设研究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19.  </w:t>
      </w:r>
      <w:r>
        <w:rPr>
          <w:rFonts w:hint="eastAsia"/>
          <w:sz w:val="28"/>
          <w:szCs w:val="28"/>
        </w:rPr>
        <w:t>唐代明代职官考核制度研究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20.  </w:t>
      </w:r>
      <w:r>
        <w:rPr>
          <w:rFonts w:hint="eastAsia"/>
          <w:sz w:val="28"/>
          <w:szCs w:val="28"/>
        </w:rPr>
        <w:t>清末民国财政法制史研究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21.  </w:t>
      </w:r>
      <w:r>
        <w:rPr>
          <w:rFonts w:hint="eastAsia"/>
          <w:sz w:val="28"/>
          <w:szCs w:val="28"/>
        </w:rPr>
        <w:t>新中国刑事政策和刑事立法变迁史研究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22.  </w:t>
      </w:r>
      <w:r>
        <w:rPr>
          <w:rFonts w:hint="eastAsia"/>
          <w:sz w:val="28"/>
          <w:szCs w:val="28"/>
        </w:rPr>
        <w:t>全面深化改革与宪法修改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>
        <w:rPr>
          <w:rFonts w:hint="eastAsia"/>
          <w:sz w:val="28"/>
          <w:szCs w:val="28"/>
        </w:rPr>
        <w:t>23.  </w:t>
      </w:r>
      <w:r>
        <w:rPr>
          <w:rFonts w:hint="eastAsia"/>
          <w:sz w:val="28"/>
          <w:szCs w:val="28"/>
        </w:rPr>
        <w:t>地方立法权研究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24.  </w:t>
      </w:r>
      <w:r>
        <w:rPr>
          <w:rFonts w:hint="eastAsia"/>
          <w:sz w:val="28"/>
          <w:szCs w:val="28"/>
        </w:rPr>
        <w:t>我国学龄前儿童受教育权法律保障研究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25.  </w:t>
      </w:r>
      <w:r>
        <w:rPr>
          <w:rFonts w:hint="eastAsia"/>
          <w:sz w:val="28"/>
          <w:szCs w:val="28"/>
        </w:rPr>
        <w:t>政府权责边界问题研究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26.  </w:t>
      </w:r>
      <w:r>
        <w:rPr>
          <w:rFonts w:hint="eastAsia"/>
          <w:sz w:val="28"/>
          <w:szCs w:val="28"/>
        </w:rPr>
        <w:t>政府与社会资本合作立法研究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27.  </w:t>
      </w:r>
      <w:r>
        <w:rPr>
          <w:rFonts w:hint="eastAsia"/>
          <w:sz w:val="28"/>
          <w:szCs w:val="28"/>
        </w:rPr>
        <w:t>行政权力委托问题研究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28.  </w:t>
      </w:r>
      <w:r>
        <w:rPr>
          <w:rFonts w:hint="eastAsia"/>
          <w:sz w:val="28"/>
          <w:szCs w:val="28"/>
        </w:rPr>
        <w:t>行政案件跨区域集中管辖与行政审判体制改革研究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29.  </w:t>
      </w:r>
      <w:r>
        <w:rPr>
          <w:rFonts w:hint="eastAsia"/>
          <w:sz w:val="28"/>
          <w:szCs w:val="28"/>
        </w:rPr>
        <w:t>行政诉讼一并审理民事争议研究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30.  </w:t>
      </w:r>
      <w:r>
        <w:rPr>
          <w:rFonts w:hint="eastAsia"/>
          <w:sz w:val="28"/>
          <w:szCs w:val="28"/>
        </w:rPr>
        <w:t>行政协议理论与审判实务问题研究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31.  </w:t>
      </w:r>
      <w:r>
        <w:rPr>
          <w:rFonts w:hint="eastAsia"/>
          <w:sz w:val="28"/>
          <w:szCs w:val="28"/>
        </w:rPr>
        <w:t>规范性文件一并审查制度研究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32.  </w:t>
      </w:r>
      <w:r>
        <w:rPr>
          <w:rFonts w:hint="eastAsia"/>
          <w:sz w:val="28"/>
          <w:szCs w:val="28"/>
        </w:rPr>
        <w:t>刑事政策与公共政策的关系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33.  </w:t>
      </w:r>
      <w:r>
        <w:rPr>
          <w:rFonts w:hint="eastAsia"/>
          <w:sz w:val="28"/>
          <w:szCs w:val="28"/>
        </w:rPr>
        <w:t>防范和打击新型网络犯罪问题研究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34.  </w:t>
      </w:r>
      <w:r>
        <w:rPr>
          <w:rFonts w:hint="eastAsia"/>
          <w:sz w:val="28"/>
          <w:szCs w:val="28"/>
        </w:rPr>
        <w:t>重大生产安全责任事故的刑事责任认定与犯罪预防机制研究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35.  </w:t>
      </w:r>
      <w:r>
        <w:rPr>
          <w:rFonts w:hint="eastAsia"/>
          <w:sz w:val="28"/>
          <w:szCs w:val="28"/>
        </w:rPr>
        <w:t>毒品滥用防控戒治体系研究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36.  </w:t>
      </w:r>
      <w:r>
        <w:rPr>
          <w:rFonts w:hint="eastAsia"/>
          <w:sz w:val="28"/>
          <w:szCs w:val="28"/>
        </w:rPr>
        <w:t>新形势下人民检察院法律监督权研究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37.  </w:t>
      </w:r>
      <w:r>
        <w:rPr>
          <w:rFonts w:hint="eastAsia"/>
          <w:sz w:val="28"/>
          <w:szCs w:val="28"/>
        </w:rPr>
        <w:t>深化监狱体制改革问题研究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38.  </w:t>
      </w:r>
      <w:r>
        <w:rPr>
          <w:rFonts w:hint="eastAsia"/>
          <w:sz w:val="28"/>
          <w:szCs w:val="28"/>
        </w:rPr>
        <w:t>刑事案件认罪认罚从宽制度</w:t>
      </w:r>
      <w:r>
        <w:rPr>
          <w:rFonts w:hint="eastAsia"/>
          <w:sz w:val="28"/>
          <w:szCs w:val="28"/>
        </w:rPr>
        <w:t>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39.  </w:t>
      </w:r>
      <w:r>
        <w:rPr>
          <w:rFonts w:hint="eastAsia"/>
          <w:sz w:val="28"/>
          <w:szCs w:val="28"/>
        </w:rPr>
        <w:t>刑事案件证人出庭问题研究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40.  </w:t>
      </w:r>
      <w:r>
        <w:rPr>
          <w:rFonts w:hint="eastAsia"/>
          <w:sz w:val="28"/>
          <w:szCs w:val="28"/>
        </w:rPr>
        <w:t>刑事诉讼中的财产权保护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41.  </w:t>
      </w:r>
      <w:r>
        <w:rPr>
          <w:rFonts w:hint="eastAsia"/>
          <w:sz w:val="28"/>
          <w:szCs w:val="28"/>
        </w:rPr>
        <w:t>论民事诉讼法中法律审与事实审的界分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42.  </w:t>
      </w:r>
      <w:r>
        <w:rPr>
          <w:rFonts w:hint="eastAsia"/>
          <w:sz w:val="28"/>
          <w:szCs w:val="28"/>
        </w:rPr>
        <w:t>民事诉讼中法官庭外调查研究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43.  </w:t>
      </w:r>
      <w:r>
        <w:rPr>
          <w:rFonts w:hint="eastAsia"/>
          <w:sz w:val="28"/>
          <w:szCs w:val="28"/>
        </w:rPr>
        <w:t>我国法院副卷制度改革的实证研究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44.  </w:t>
      </w:r>
      <w:r>
        <w:rPr>
          <w:rFonts w:hint="eastAsia"/>
          <w:sz w:val="28"/>
          <w:szCs w:val="28"/>
        </w:rPr>
        <w:t>公证工作改革发展问题研究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45.  </w:t>
      </w:r>
      <w:r>
        <w:rPr>
          <w:rFonts w:hint="eastAsia"/>
          <w:sz w:val="28"/>
          <w:szCs w:val="28"/>
        </w:rPr>
        <w:t>法律援助值班律师制度研究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46.  </w:t>
      </w:r>
      <w:r>
        <w:rPr>
          <w:rFonts w:hint="eastAsia"/>
          <w:sz w:val="28"/>
          <w:szCs w:val="28"/>
        </w:rPr>
        <w:t>中国民法施行法立法问题研究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47.  </w:t>
      </w:r>
      <w:r>
        <w:rPr>
          <w:rFonts w:hint="eastAsia"/>
          <w:sz w:val="28"/>
          <w:szCs w:val="28"/>
        </w:rPr>
        <w:t>中国遗产管理法律制度的完善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48.  </w:t>
      </w:r>
      <w:r>
        <w:rPr>
          <w:rFonts w:hint="eastAsia"/>
          <w:sz w:val="28"/>
          <w:szCs w:val="28"/>
        </w:rPr>
        <w:t>农村土地三权分置的制度内容与风险防范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>
        <w:rPr>
          <w:rFonts w:hint="eastAsia"/>
          <w:sz w:val="28"/>
          <w:szCs w:val="28"/>
        </w:rPr>
        <w:t>49.  </w:t>
      </w:r>
      <w:r>
        <w:rPr>
          <w:rFonts w:hint="eastAsia"/>
          <w:sz w:val="28"/>
          <w:szCs w:val="28"/>
        </w:rPr>
        <w:t>数据的法律保护研究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50.  </w:t>
      </w:r>
      <w:r>
        <w:rPr>
          <w:rFonts w:hint="eastAsia"/>
          <w:sz w:val="28"/>
          <w:szCs w:val="28"/>
        </w:rPr>
        <w:t>中国商事通则立法研究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51.  </w:t>
      </w:r>
      <w:r>
        <w:rPr>
          <w:rFonts w:hint="eastAsia"/>
          <w:sz w:val="28"/>
          <w:szCs w:val="28"/>
        </w:rPr>
        <w:t>商事登记制度改革中的信用风险防范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52.  </w:t>
      </w:r>
      <w:r>
        <w:rPr>
          <w:rFonts w:hint="eastAsia"/>
          <w:sz w:val="28"/>
          <w:szCs w:val="28"/>
        </w:rPr>
        <w:t>商个人制度完善的重大理论与立法问题研究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53.  </w:t>
      </w:r>
      <w:r>
        <w:rPr>
          <w:rFonts w:hint="eastAsia"/>
          <w:sz w:val="28"/>
          <w:szCs w:val="28"/>
        </w:rPr>
        <w:t>股东平等原则理念下的类别股制度探讨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54.  </w:t>
      </w:r>
      <w:r>
        <w:rPr>
          <w:rFonts w:hint="eastAsia"/>
          <w:sz w:val="28"/>
          <w:szCs w:val="28"/>
        </w:rPr>
        <w:t>互联网市场限制竞争行为法律规则研究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55.  </w:t>
      </w:r>
      <w:r>
        <w:rPr>
          <w:rFonts w:hint="eastAsia"/>
          <w:sz w:val="28"/>
          <w:szCs w:val="28"/>
        </w:rPr>
        <w:t>事权与支出责任的法治化研究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56.  </w:t>
      </w:r>
      <w:r>
        <w:rPr>
          <w:rFonts w:hint="eastAsia"/>
          <w:sz w:val="28"/>
          <w:szCs w:val="28"/>
        </w:rPr>
        <w:t>非税收入相关法律问题研究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57.  </w:t>
      </w:r>
      <w:r>
        <w:rPr>
          <w:rFonts w:hint="eastAsia"/>
          <w:sz w:val="28"/>
          <w:szCs w:val="28"/>
        </w:rPr>
        <w:t>《劳动法》修改研究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58.  </w:t>
      </w:r>
      <w:r>
        <w:rPr>
          <w:rFonts w:hint="eastAsia"/>
          <w:sz w:val="28"/>
          <w:szCs w:val="28"/>
        </w:rPr>
        <w:t>退休金给付法律保障研究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59.  </w:t>
      </w:r>
      <w:r>
        <w:rPr>
          <w:rFonts w:hint="eastAsia"/>
          <w:sz w:val="28"/>
          <w:szCs w:val="28"/>
        </w:rPr>
        <w:t>外国人服务与管理法律问题研究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60.  </w:t>
      </w:r>
      <w:r>
        <w:rPr>
          <w:rFonts w:hint="eastAsia"/>
          <w:sz w:val="28"/>
          <w:szCs w:val="28"/>
        </w:rPr>
        <w:t>国有企业境外投资中的资产流失防范机制研究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61.  </w:t>
      </w:r>
      <w:r>
        <w:rPr>
          <w:rFonts w:hint="eastAsia"/>
          <w:sz w:val="28"/>
          <w:szCs w:val="28"/>
        </w:rPr>
        <w:t>“一带一路”战略下中国对外投资企业法律制度</w:t>
      </w:r>
      <w:r>
        <w:rPr>
          <w:rFonts w:hint="eastAsia"/>
          <w:sz w:val="28"/>
          <w:szCs w:val="28"/>
        </w:rPr>
        <w:t>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62.  </w:t>
      </w:r>
      <w:r>
        <w:rPr>
          <w:rFonts w:hint="eastAsia"/>
          <w:sz w:val="28"/>
          <w:szCs w:val="28"/>
        </w:rPr>
        <w:t>中美域外取证的法律冲突与博弈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63.  </w:t>
      </w:r>
      <w:r>
        <w:rPr>
          <w:rFonts w:hint="eastAsia"/>
          <w:sz w:val="28"/>
          <w:szCs w:val="28"/>
        </w:rPr>
        <w:t>英国“脱欧”对中英双边法律制度的影响研究</w:t>
      </w:r>
    </w:p>
    <w:p w:rsidR="00D01450" w:rsidRDefault="008B2E4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64.  </w:t>
      </w:r>
      <w:r>
        <w:rPr>
          <w:rFonts w:hint="eastAsia"/>
          <w:sz w:val="28"/>
          <w:szCs w:val="28"/>
        </w:rPr>
        <w:t>地下水污染法律问题研究</w:t>
      </w:r>
    </w:p>
    <w:p w:rsidR="00D01450" w:rsidRDefault="008B2E4E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65.  </w:t>
      </w:r>
      <w:r>
        <w:rPr>
          <w:rFonts w:hint="eastAsia"/>
          <w:sz w:val="28"/>
          <w:szCs w:val="28"/>
        </w:rPr>
        <w:t>生态环境损害赔偿制度研究</w:t>
      </w:r>
    </w:p>
    <w:p w:rsidR="00D01450" w:rsidRDefault="00D01450">
      <w:pPr>
        <w:spacing w:line="520" w:lineRule="exact"/>
        <w:ind w:firstLine="560"/>
        <w:rPr>
          <w:sz w:val="28"/>
          <w:szCs w:val="28"/>
        </w:rPr>
      </w:pPr>
    </w:p>
    <w:p w:rsidR="00D01450" w:rsidRDefault="00D01450">
      <w:pPr>
        <w:spacing w:line="520" w:lineRule="exact"/>
        <w:ind w:firstLine="560"/>
        <w:rPr>
          <w:sz w:val="28"/>
          <w:szCs w:val="28"/>
        </w:rPr>
      </w:pPr>
    </w:p>
    <w:sectPr w:rsidR="00D01450" w:rsidSect="00D01450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4E" w:rsidRDefault="008B2E4E" w:rsidP="009055F3">
      <w:r>
        <w:separator/>
      </w:r>
    </w:p>
  </w:endnote>
  <w:endnote w:type="continuationSeparator" w:id="0">
    <w:p w:rsidR="008B2E4E" w:rsidRDefault="008B2E4E" w:rsidP="0090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4E" w:rsidRDefault="008B2E4E" w:rsidP="009055F3">
      <w:r>
        <w:separator/>
      </w:r>
    </w:p>
  </w:footnote>
  <w:footnote w:type="continuationSeparator" w:id="0">
    <w:p w:rsidR="008B2E4E" w:rsidRDefault="008B2E4E" w:rsidP="00905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9F74"/>
    <w:multiLevelType w:val="singleLevel"/>
    <w:tmpl w:val="592E9F7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E7792D"/>
    <w:rsid w:val="008B2E4E"/>
    <w:rsid w:val="009055F3"/>
    <w:rsid w:val="00D01450"/>
    <w:rsid w:val="018F06A4"/>
    <w:rsid w:val="110F2C29"/>
    <w:rsid w:val="125E7B1B"/>
    <w:rsid w:val="1A4A17B0"/>
    <w:rsid w:val="49E7792D"/>
    <w:rsid w:val="624571DE"/>
    <w:rsid w:val="631D24D9"/>
    <w:rsid w:val="750C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4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450"/>
    <w:pPr>
      <w:spacing w:line="390" w:lineRule="atLeast"/>
      <w:jc w:val="left"/>
    </w:pPr>
    <w:rPr>
      <w:rFonts w:ascii="宋体" w:eastAsia="宋体" w:hAnsi="宋体" w:cs="Times New Roman"/>
      <w:kern w:val="0"/>
      <w:szCs w:val="21"/>
    </w:rPr>
  </w:style>
  <w:style w:type="character" w:styleId="a4">
    <w:name w:val="Strong"/>
    <w:basedOn w:val="a0"/>
    <w:qFormat/>
    <w:rsid w:val="00D01450"/>
    <w:rPr>
      <w:b/>
    </w:rPr>
  </w:style>
  <w:style w:type="character" w:styleId="a5">
    <w:name w:val="FollowedHyperlink"/>
    <w:basedOn w:val="a0"/>
    <w:rsid w:val="00D01450"/>
    <w:rPr>
      <w:color w:val="800080"/>
      <w:u w:val="none"/>
    </w:rPr>
  </w:style>
  <w:style w:type="character" w:styleId="a6">
    <w:name w:val="Emphasis"/>
    <w:basedOn w:val="a0"/>
    <w:qFormat/>
    <w:rsid w:val="00D01450"/>
    <w:rPr>
      <w:rFonts w:ascii="宋体" w:eastAsia="宋体" w:hAnsi="宋体" w:cs="宋体"/>
      <w:sz w:val="18"/>
      <w:szCs w:val="18"/>
      <w:bdr w:val="none" w:sz="0" w:space="0" w:color="auto"/>
    </w:rPr>
  </w:style>
  <w:style w:type="character" w:styleId="a7">
    <w:name w:val="Hyperlink"/>
    <w:basedOn w:val="a0"/>
    <w:rsid w:val="00D01450"/>
    <w:rPr>
      <w:color w:val="0000FF"/>
      <w:u w:val="none"/>
    </w:rPr>
  </w:style>
  <w:style w:type="character" w:styleId="HTML">
    <w:name w:val="HTML Code"/>
    <w:basedOn w:val="a0"/>
    <w:rsid w:val="00D01450"/>
    <w:rPr>
      <w:rFonts w:ascii="宋体" w:eastAsia="宋体" w:hAnsi="宋体" w:cs="宋体"/>
      <w:sz w:val="18"/>
      <w:szCs w:val="18"/>
      <w:bdr w:val="none" w:sz="0" w:space="0" w:color="auto"/>
    </w:rPr>
  </w:style>
  <w:style w:type="character" w:styleId="HTML0">
    <w:name w:val="HTML Cite"/>
    <w:basedOn w:val="a0"/>
    <w:rsid w:val="00D01450"/>
    <w:rPr>
      <w:rFonts w:ascii="宋体" w:eastAsia="宋体" w:hAnsi="宋体" w:cs="宋体"/>
      <w:sz w:val="18"/>
      <w:szCs w:val="18"/>
      <w:bdr w:val="none" w:sz="0" w:space="0" w:color="auto"/>
    </w:rPr>
  </w:style>
  <w:style w:type="character" w:customStyle="1" w:styleId="bsharetext">
    <w:name w:val="bsharetext"/>
    <w:basedOn w:val="a0"/>
    <w:rsid w:val="00D01450"/>
  </w:style>
  <w:style w:type="paragraph" w:styleId="a8">
    <w:name w:val="header"/>
    <w:basedOn w:val="a"/>
    <w:link w:val="Char"/>
    <w:rsid w:val="0090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055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05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055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张旭</cp:lastModifiedBy>
  <cp:revision>2</cp:revision>
  <cp:lastPrinted>2017-05-31T10:00:00Z</cp:lastPrinted>
  <dcterms:created xsi:type="dcterms:W3CDTF">2017-06-01T01:17:00Z</dcterms:created>
  <dcterms:modified xsi:type="dcterms:W3CDTF">2017-06-01T01:17:00Z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